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9B130" w14:textId="004F73EA" w:rsidR="00976E7D" w:rsidRPr="00D270D8" w:rsidRDefault="002C5966" w:rsidP="00D270D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Zákon o odpadech č. 541/2020 Sb. v praxi</w:t>
      </w:r>
    </w:p>
    <w:p w14:paraId="19121915" w14:textId="28E18B10" w:rsidR="00B70C82" w:rsidRPr="009D525C" w:rsidRDefault="00B70C82" w:rsidP="00D270D8">
      <w:pPr>
        <w:jc w:val="both"/>
        <w:rPr>
          <w:rFonts w:cstheme="minorHAnsi"/>
        </w:rPr>
      </w:pPr>
      <w:r w:rsidRPr="009D525C">
        <w:rPr>
          <w:rFonts w:cstheme="minorHAnsi"/>
        </w:rPr>
        <w:tab/>
        <w:t>Legislativa odpadového hospodářství byla vždy velmi náročná</w:t>
      </w:r>
      <w:r w:rsidR="00D270D8" w:rsidRPr="009D525C">
        <w:rPr>
          <w:rFonts w:cstheme="minorHAnsi"/>
        </w:rPr>
        <w:t xml:space="preserve"> a přísná</w:t>
      </w:r>
      <w:r w:rsidRPr="009D525C">
        <w:rPr>
          <w:rFonts w:cstheme="minorHAnsi"/>
        </w:rPr>
        <w:t xml:space="preserve">. </w:t>
      </w:r>
    </w:p>
    <w:p w14:paraId="3AE81D7B" w14:textId="1BF55B05" w:rsidR="00114949" w:rsidRPr="009D525C" w:rsidRDefault="00B70C82" w:rsidP="00D270D8">
      <w:pPr>
        <w:ind w:firstLine="708"/>
        <w:jc w:val="both"/>
        <w:rPr>
          <w:rFonts w:cstheme="minorHAnsi"/>
        </w:rPr>
      </w:pPr>
      <w:r w:rsidRPr="009D525C">
        <w:rPr>
          <w:rFonts w:cstheme="minorHAnsi"/>
        </w:rPr>
        <w:t>Všichni ti, kteří se v oblasti odpadového hospodářství pohybují, věděli, že se nová legislativa připravuje, ale do konce minulého roku jsme čekali</w:t>
      </w:r>
      <w:r w:rsidR="00D201D6" w:rsidRPr="009D525C">
        <w:rPr>
          <w:rFonts w:cstheme="minorHAnsi"/>
        </w:rPr>
        <w:t>,</w:t>
      </w:r>
      <w:r w:rsidRPr="009D525C">
        <w:rPr>
          <w:rFonts w:cstheme="minorHAnsi"/>
        </w:rPr>
        <w:t xml:space="preserve"> zda a v jaké formě bude schválena. Nakonec byl parlamentem ČR </w:t>
      </w:r>
      <w:r w:rsidR="00114949" w:rsidRPr="009D525C">
        <w:rPr>
          <w:rFonts w:cstheme="minorHAnsi"/>
        </w:rPr>
        <w:t>nový Zákon o odpadech č. 541/2020 Sb. schválen a podepsán prezidentem s účinností od 1.</w:t>
      </w:r>
      <w:r w:rsidR="004B3552" w:rsidRPr="009D525C">
        <w:rPr>
          <w:rFonts w:cstheme="minorHAnsi"/>
        </w:rPr>
        <w:t xml:space="preserve"> </w:t>
      </w:r>
      <w:r w:rsidR="00114949" w:rsidRPr="009D525C">
        <w:rPr>
          <w:rFonts w:cstheme="minorHAnsi"/>
        </w:rPr>
        <w:t>1.</w:t>
      </w:r>
      <w:r w:rsidR="004B3552" w:rsidRPr="009D525C">
        <w:rPr>
          <w:rFonts w:cstheme="minorHAnsi"/>
        </w:rPr>
        <w:t xml:space="preserve"> </w:t>
      </w:r>
      <w:r w:rsidR="00114949" w:rsidRPr="009D525C">
        <w:rPr>
          <w:rFonts w:cstheme="minorHAnsi"/>
        </w:rPr>
        <w:t>2021. Samozřejmě se najednou vyskytlo spoustu nejasností a to nemluvím o tom, že nebyl</w:t>
      </w:r>
      <w:r w:rsidR="00D270D8" w:rsidRPr="009D525C">
        <w:rPr>
          <w:rFonts w:cstheme="minorHAnsi"/>
        </w:rPr>
        <w:t>y</w:t>
      </w:r>
      <w:r w:rsidR="00114949" w:rsidRPr="009D525C">
        <w:rPr>
          <w:rFonts w:cstheme="minorHAnsi"/>
        </w:rPr>
        <w:t xml:space="preserve"> k dispozici prováděcí vyhlášky, které byly vydány až v červenc</w:t>
      </w:r>
      <w:r w:rsidR="004B3552" w:rsidRPr="009D525C">
        <w:rPr>
          <w:rFonts w:cstheme="minorHAnsi"/>
        </w:rPr>
        <w:t>i letošního roku. Do té doby se </w:t>
      </w:r>
      <w:r w:rsidR="00114949" w:rsidRPr="009D525C">
        <w:rPr>
          <w:rFonts w:cstheme="minorHAnsi"/>
        </w:rPr>
        <w:t>postupovalo hlavně podle metodik ministerstva životního prostředí.</w:t>
      </w:r>
    </w:p>
    <w:p w14:paraId="0033864C" w14:textId="05C834A0" w:rsidR="00D270D8" w:rsidRPr="009D525C" w:rsidRDefault="00D270D8" w:rsidP="00D201D6">
      <w:pPr>
        <w:ind w:firstLine="708"/>
        <w:jc w:val="both"/>
        <w:rPr>
          <w:rFonts w:cstheme="minorHAnsi"/>
        </w:rPr>
      </w:pPr>
      <w:r w:rsidRPr="009D525C">
        <w:rPr>
          <w:rFonts w:cstheme="minorHAnsi"/>
        </w:rPr>
        <w:t xml:space="preserve">Dopad legislativy pocítí všechny články </w:t>
      </w:r>
      <w:r w:rsidR="00D201D6" w:rsidRPr="009D525C">
        <w:rPr>
          <w:rFonts w:cstheme="minorHAnsi"/>
        </w:rPr>
        <w:t xml:space="preserve">pomyslného </w:t>
      </w:r>
      <w:r w:rsidRPr="009D525C">
        <w:rPr>
          <w:rFonts w:cstheme="minorHAnsi"/>
        </w:rPr>
        <w:t>řetězce – obce, podnikatelé, svozové firmy a skládkaři. Pro společnost OZO je tohle téma o to zásadnější, že plní</w:t>
      </w:r>
      <w:r w:rsidR="004B3552" w:rsidRPr="009D525C">
        <w:rPr>
          <w:rFonts w:cstheme="minorHAnsi"/>
        </w:rPr>
        <w:t>me zároveň roli svozové firmy i </w:t>
      </w:r>
      <w:r w:rsidRPr="009D525C">
        <w:rPr>
          <w:rFonts w:cstheme="minorHAnsi"/>
        </w:rPr>
        <w:t>skládkaře.</w:t>
      </w:r>
    </w:p>
    <w:p w14:paraId="1D146E15" w14:textId="63CC77C1" w:rsidR="00D270D8" w:rsidRPr="009D525C" w:rsidRDefault="00D270D8" w:rsidP="00D201D6">
      <w:pPr>
        <w:ind w:firstLine="708"/>
        <w:jc w:val="both"/>
        <w:rPr>
          <w:rFonts w:cstheme="minorHAnsi"/>
        </w:rPr>
      </w:pPr>
      <w:r w:rsidRPr="009D525C">
        <w:rPr>
          <w:rFonts w:cstheme="minorHAnsi"/>
        </w:rPr>
        <w:t xml:space="preserve">Česká republika </w:t>
      </w:r>
      <w:r w:rsidR="00312DA3" w:rsidRPr="009D525C">
        <w:rPr>
          <w:rFonts w:cstheme="minorHAnsi"/>
        </w:rPr>
        <w:t xml:space="preserve">novou </w:t>
      </w:r>
      <w:r w:rsidR="00B01364" w:rsidRPr="009D525C">
        <w:rPr>
          <w:rFonts w:cstheme="minorHAnsi"/>
        </w:rPr>
        <w:t xml:space="preserve">odpadovou </w:t>
      </w:r>
      <w:r w:rsidR="00312DA3" w:rsidRPr="009D525C">
        <w:rPr>
          <w:rFonts w:cstheme="minorHAnsi"/>
        </w:rPr>
        <w:t xml:space="preserve">legislativu potřebuje, </w:t>
      </w:r>
      <w:r w:rsidR="005722B7" w:rsidRPr="009D525C">
        <w:rPr>
          <w:rFonts w:cstheme="minorHAnsi"/>
        </w:rPr>
        <w:t>v tom se shodnou všichni</w:t>
      </w:r>
      <w:r w:rsidR="00B56638" w:rsidRPr="009D525C">
        <w:rPr>
          <w:rFonts w:cstheme="minorHAnsi"/>
        </w:rPr>
        <w:t xml:space="preserve"> experti</w:t>
      </w:r>
      <w:r w:rsidR="005722B7" w:rsidRPr="009D525C">
        <w:rPr>
          <w:rFonts w:cstheme="minorHAnsi"/>
        </w:rPr>
        <w:t>. N</w:t>
      </w:r>
      <w:r w:rsidR="00312DA3" w:rsidRPr="009D525C">
        <w:rPr>
          <w:rFonts w:cstheme="minorHAnsi"/>
        </w:rPr>
        <w:t>icméně názory odborníků, kolegů</w:t>
      </w:r>
      <w:r w:rsidR="00D201D6" w:rsidRPr="009D525C">
        <w:rPr>
          <w:rFonts w:cstheme="minorHAnsi"/>
        </w:rPr>
        <w:t xml:space="preserve"> a</w:t>
      </w:r>
      <w:r w:rsidR="00312DA3" w:rsidRPr="009D525C">
        <w:rPr>
          <w:rFonts w:cstheme="minorHAnsi"/>
        </w:rPr>
        <w:t xml:space="preserve"> partnerů se sjednocují v tom, že koncepce nového zákona není úplně domyšlená. Vyvíjí se velký tlak na třídění druhotných surovin, stále častěji slýcháváme pojmy jako cirkulární ekonomika, předcházení vzniku odpadu apod. </w:t>
      </w:r>
      <w:r w:rsidR="00356647" w:rsidRPr="009D525C">
        <w:rPr>
          <w:rFonts w:cstheme="minorHAnsi"/>
        </w:rPr>
        <w:t xml:space="preserve">Všechny tyto pojmy jsou zásadní a v zákoně by měli být dotaženy do úplného konce. Bohužel tomu tak nebylo, chybí </w:t>
      </w:r>
      <w:r w:rsidR="008C37B5" w:rsidRPr="009D525C">
        <w:rPr>
          <w:rFonts w:cstheme="minorHAnsi"/>
        </w:rPr>
        <w:t xml:space="preserve">hlavně zajištění odbytu </w:t>
      </w:r>
      <w:r w:rsidR="00B56638" w:rsidRPr="009D525C">
        <w:rPr>
          <w:rFonts w:cstheme="minorHAnsi"/>
        </w:rPr>
        <w:t>druhotných</w:t>
      </w:r>
      <w:r w:rsidR="008C37B5" w:rsidRPr="009D525C">
        <w:rPr>
          <w:rFonts w:cstheme="minorHAnsi"/>
        </w:rPr>
        <w:t xml:space="preserve"> surovin. </w:t>
      </w:r>
      <w:r w:rsidR="00C24980" w:rsidRPr="009D525C">
        <w:rPr>
          <w:rFonts w:cstheme="minorHAnsi"/>
        </w:rPr>
        <w:t xml:space="preserve">Pokud chceme odpad využívat materiálově a energeticky, musí k tomu být uzpůsobeny i okolní podmínky. A ty u nás, bohužel, zatím nejsou. Čtyři spalovny komunálního odpadu jsou opravdu málo, zákaz skládkování tudíž nepřipadá v úvahu. Jedinou cestou, která má v této situaci smysl je spojit </w:t>
      </w:r>
      <w:r w:rsidR="001729A9" w:rsidRPr="009D525C">
        <w:rPr>
          <w:rFonts w:cstheme="minorHAnsi"/>
        </w:rPr>
        <w:t xml:space="preserve">odvětví </w:t>
      </w:r>
      <w:r w:rsidR="00C24980" w:rsidRPr="009D525C">
        <w:rPr>
          <w:rFonts w:cstheme="minorHAnsi"/>
        </w:rPr>
        <w:t>odpadové</w:t>
      </w:r>
      <w:r w:rsidR="001729A9" w:rsidRPr="009D525C">
        <w:rPr>
          <w:rFonts w:cstheme="minorHAnsi"/>
        </w:rPr>
        <w:t>ho</w:t>
      </w:r>
      <w:r w:rsidR="00C24980" w:rsidRPr="009D525C">
        <w:rPr>
          <w:rFonts w:cstheme="minorHAnsi"/>
        </w:rPr>
        <w:t xml:space="preserve"> hospodářství a energetik</w:t>
      </w:r>
      <w:r w:rsidR="001729A9" w:rsidRPr="009D525C">
        <w:rPr>
          <w:rFonts w:cstheme="minorHAnsi"/>
        </w:rPr>
        <w:t>y</w:t>
      </w:r>
      <w:r w:rsidR="00C24980" w:rsidRPr="009D525C">
        <w:rPr>
          <w:rFonts w:cstheme="minorHAnsi"/>
        </w:rPr>
        <w:t>. Výroba tuhého alternativního paliva</w:t>
      </w:r>
      <w:r w:rsidR="005C345B" w:rsidRPr="009D525C">
        <w:rPr>
          <w:rFonts w:cstheme="minorHAnsi"/>
        </w:rPr>
        <w:t xml:space="preserve"> jako náhražky uhlí</w:t>
      </w:r>
      <w:r w:rsidR="001729A9" w:rsidRPr="009D525C">
        <w:rPr>
          <w:rFonts w:cstheme="minorHAnsi"/>
        </w:rPr>
        <w:t xml:space="preserve"> už funguje a určitě to bu</w:t>
      </w:r>
      <w:r w:rsidR="00B56638" w:rsidRPr="009D525C">
        <w:rPr>
          <w:rFonts w:cstheme="minorHAnsi"/>
        </w:rPr>
        <w:t>de hlavním strategickým cílem</w:t>
      </w:r>
      <w:r w:rsidR="001729A9" w:rsidRPr="009D525C">
        <w:rPr>
          <w:rFonts w:cstheme="minorHAnsi"/>
        </w:rPr>
        <w:t xml:space="preserve"> pro budoucí koncepci a vizi </w:t>
      </w:r>
      <w:r w:rsidR="003970F0" w:rsidRPr="009D525C">
        <w:rPr>
          <w:rFonts w:cstheme="minorHAnsi"/>
        </w:rPr>
        <w:t>odpadového hospodářství</w:t>
      </w:r>
      <w:r w:rsidR="001729A9" w:rsidRPr="009D525C">
        <w:rPr>
          <w:rFonts w:cstheme="minorHAnsi"/>
        </w:rPr>
        <w:t>.</w:t>
      </w:r>
    </w:p>
    <w:p w14:paraId="321ED2CC" w14:textId="79873D8E" w:rsidR="005722B7" w:rsidRPr="009D525C" w:rsidRDefault="005722B7" w:rsidP="00170CA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9D525C">
        <w:rPr>
          <w:rFonts w:cstheme="minorHAnsi"/>
          <w:b/>
          <w:bCs/>
          <w:sz w:val="24"/>
          <w:szCs w:val="24"/>
          <w:u w:val="single"/>
        </w:rPr>
        <w:t>Co se mění</w:t>
      </w:r>
    </w:p>
    <w:p w14:paraId="26EF78DB" w14:textId="71EDE741" w:rsidR="00CE7F10" w:rsidRPr="009D525C" w:rsidRDefault="001722D5" w:rsidP="00C5266E">
      <w:pPr>
        <w:ind w:firstLine="360"/>
        <w:jc w:val="both"/>
        <w:rPr>
          <w:rFonts w:cstheme="minorHAnsi"/>
        </w:rPr>
      </w:pPr>
      <w:r w:rsidRPr="009D525C">
        <w:rPr>
          <w:rFonts w:cstheme="minorHAnsi"/>
        </w:rPr>
        <w:t>Pokud bych měl začít u našich zákazníků (obce i podnikatelské subjekty), hlavním cílem je omezení produkce směsného komunálního odpadu</w:t>
      </w:r>
      <w:r w:rsidR="004A32A6" w:rsidRPr="009D525C">
        <w:rPr>
          <w:rFonts w:cstheme="minorHAnsi"/>
        </w:rPr>
        <w:t xml:space="preserve"> a objemného odpadu</w:t>
      </w:r>
      <w:r w:rsidRPr="009D525C">
        <w:rPr>
          <w:rFonts w:cstheme="minorHAnsi"/>
        </w:rPr>
        <w:t xml:space="preserve"> a je</w:t>
      </w:r>
      <w:r w:rsidR="004A32A6" w:rsidRPr="009D525C">
        <w:rPr>
          <w:rFonts w:cstheme="minorHAnsi"/>
        </w:rPr>
        <w:t>jich</w:t>
      </w:r>
      <w:r w:rsidRPr="009D525C">
        <w:rPr>
          <w:rFonts w:cstheme="minorHAnsi"/>
        </w:rPr>
        <w:t xml:space="preserve"> násle</w:t>
      </w:r>
      <w:r w:rsidR="004B3552" w:rsidRPr="009D525C">
        <w:rPr>
          <w:rFonts w:cstheme="minorHAnsi"/>
        </w:rPr>
        <w:t>dného uložení na </w:t>
      </w:r>
      <w:r w:rsidRPr="009D525C">
        <w:rPr>
          <w:rFonts w:cstheme="minorHAnsi"/>
        </w:rPr>
        <w:t xml:space="preserve">skládku. </w:t>
      </w:r>
    </w:p>
    <w:p w14:paraId="4D62410F" w14:textId="234FC4EE" w:rsidR="00B02E02" w:rsidRPr="009D525C" w:rsidRDefault="001722D5" w:rsidP="00170CAA">
      <w:pPr>
        <w:ind w:firstLine="360"/>
        <w:jc w:val="both"/>
        <w:rPr>
          <w:rFonts w:cstheme="minorHAnsi"/>
        </w:rPr>
      </w:pPr>
      <w:r w:rsidRPr="009D525C">
        <w:rPr>
          <w:rFonts w:cstheme="minorHAnsi"/>
        </w:rPr>
        <w:t xml:space="preserve">U obcí je nastaven systém – limit, který vychází z počtu obyvatel v dané obci a množství </w:t>
      </w:r>
      <w:r w:rsidR="004B3552" w:rsidRPr="009D525C">
        <w:rPr>
          <w:rFonts w:cstheme="minorHAnsi"/>
        </w:rPr>
        <w:t>SKO a </w:t>
      </w:r>
      <w:r w:rsidR="004A32A6" w:rsidRPr="009D525C">
        <w:rPr>
          <w:rFonts w:cstheme="minorHAnsi"/>
        </w:rPr>
        <w:t>objemného odpadu</w:t>
      </w:r>
      <w:r w:rsidRPr="009D525C">
        <w:rPr>
          <w:rFonts w:cstheme="minorHAnsi"/>
        </w:rPr>
        <w:t xml:space="preserve"> vyprodukovaného každým obyvatelem. Pro letoš</w:t>
      </w:r>
      <w:r w:rsidR="004B3552" w:rsidRPr="009D525C">
        <w:rPr>
          <w:rFonts w:cstheme="minorHAnsi"/>
        </w:rPr>
        <w:t>ní rok je tento limit 200 kg na </w:t>
      </w:r>
      <w:r w:rsidRPr="009D525C">
        <w:rPr>
          <w:rFonts w:cstheme="minorHAnsi"/>
        </w:rPr>
        <w:t>hlavu, příští rok to bude 190 kg a tato hodnota se bude dále zpřísňovat až do roku 2029 dle následující tabulky:</w:t>
      </w:r>
    </w:p>
    <w:tbl>
      <w:tblPr>
        <w:tblpPr w:leftFromText="141" w:rightFromText="141" w:vertAnchor="text" w:horzAnchor="margin" w:tblpY="25"/>
        <w:tblW w:w="9629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514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472"/>
      </w:tblGrid>
      <w:tr w:rsidR="00B02E02" w:rsidRPr="009D525C" w14:paraId="4F342E65" w14:textId="77777777" w:rsidTr="0027442C">
        <w:trPr>
          <w:trHeight w:val="409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2465EA8" w14:textId="5B00A62D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  <w:tc>
          <w:tcPr>
            <w:tcW w:w="711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70AA455F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9D525C"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Poplatkové období v roce</w:t>
            </w:r>
          </w:p>
        </w:tc>
      </w:tr>
      <w:tr w:rsidR="00B02E02" w:rsidRPr="009D525C" w14:paraId="57A6FE37" w14:textId="77777777" w:rsidTr="0027442C">
        <w:trPr>
          <w:trHeight w:val="76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E4AD4A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Dílčí základ poplatku za ukládání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E7E6E6" w:themeFill="background2"/>
            <w:vAlign w:val="center"/>
            <w:hideMark/>
          </w:tcPr>
          <w:p w14:paraId="22D8A622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E7E6E6" w:themeFill="background2"/>
            <w:vAlign w:val="center"/>
            <w:hideMark/>
          </w:tcPr>
          <w:p w14:paraId="6C6A2D4E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E7E6E6" w:themeFill="background2"/>
            <w:vAlign w:val="center"/>
            <w:hideMark/>
          </w:tcPr>
          <w:p w14:paraId="40590A10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E7E6E6" w:themeFill="background2"/>
            <w:vAlign w:val="center"/>
            <w:hideMark/>
          </w:tcPr>
          <w:p w14:paraId="32E3E40D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E7E6E6" w:themeFill="background2"/>
            <w:vAlign w:val="center"/>
            <w:hideMark/>
          </w:tcPr>
          <w:p w14:paraId="6BB09133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E7E6E6" w:themeFill="background2"/>
            <w:vAlign w:val="center"/>
            <w:hideMark/>
          </w:tcPr>
          <w:p w14:paraId="6FBF407E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E7E6E6" w:themeFill="background2"/>
            <w:vAlign w:val="center"/>
            <w:hideMark/>
          </w:tcPr>
          <w:p w14:paraId="171A226E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E7E6E6" w:themeFill="background2"/>
            <w:vAlign w:val="center"/>
            <w:hideMark/>
          </w:tcPr>
          <w:p w14:paraId="60A784CA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E7E6E6" w:themeFill="background2"/>
            <w:vAlign w:val="center"/>
            <w:hideMark/>
          </w:tcPr>
          <w:p w14:paraId="159E2761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F598096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2030 a dále</w:t>
            </w:r>
          </w:p>
        </w:tc>
      </w:tr>
      <w:tr w:rsidR="00B02E02" w:rsidRPr="009D525C" w14:paraId="6AC0F628" w14:textId="77777777" w:rsidTr="0027442C">
        <w:trPr>
          <w:trHeight w:val="534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4" w:space="0" w:color="808080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C736A68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využitelných odpadů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C5FD3C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90BE63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E4C2C3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10BB23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1250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E7F0C7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0CCB93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1600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EA929B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1700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0713BB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1800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8CDB73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BC7E7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1850</w:t>
            </w:r>
          </w:p>
        </w:tc>
      </w:tr>
      <w:tr w:rsidR="00B02E02" w:rsidRPr="009D525C" w14:paraId="09BEE010" w14:textId="77777777" w:rsidTr="0027442C">
        <w:trPr>
          <w:trHeight w:val="559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B04582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zbytkových odpadů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675210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C3EE60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9CCC6B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ADBCB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AEDA0F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F026BA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0A66AA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117156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700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35A12C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700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4DFE9" w14:textId="77777777" w:rsidR="00B02E02" w:rsidRPr="009D525C" w:rsidRDefault="00B02E02" w:rsidP="002744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9D525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800</w:t>
            </w:r>
          </w:p>
        </w:tc>
      </w:tr>
    </w:tbl>
    <w:p w14:paraId="05D3A29F" w14:textId="77777777" w:rsidR="0027442C" w:rsidRPr="009D525C" w:rsidRDefault="0027442C" w:rsidP="00170CAA">
      <w:pPr>
        <w:ind w:firstLine="360"/>
        <w:jc w:val="both"/>
        <w:rPr>
          <w:rFonts w:cstheme="minorHAnsi"/>
        </w:rPr>
      </w:pPr>
    </w:p>
    <w:p w14:paraId="1605D9AF" w14:textId="3536792E" w:rsidR="00C6612C" w:rsidRPr="009D525C" w:rsidRDefault="00C5266E" w:rsidP="00170CAA">
      <w:pPr>
        <w:ind w:firstLine="360"/>
        <w:jc w:val="both"/>
        <w:rPr>
          <w:rFonts w:cstheme="minorHAnsi"/>
        </w:rPr>
      </w:pPr>
      <w:r w:rsidRPr="009D525C">
        <w:rPr>
          <w:rFonts w:cstheme="minorHAnsi"/>
        </w:rPr>
        <w:t>Množství vyprodukovaného SKO a objemného odpadu</w:t>
      </w:r>
      <w:r w:rsidR="004A32A6" w:rsidRPr="009D525C">
        <w:rPr>
          <w:rFonts w:cstheme="minorHAnsi"/>
        </w:rPr>
        <w:t xml:space="preserve"> do tohoto limitu se účtuj</w:t>
      </w:r>
      <w:r w:rsidRPr="009D525C">
        <w:rPr>
          <w:rFonts w:cstheme="minorHAnsi"/>
        </w:rPr>
        <w:t>e</w:t>
      </w:r>
      <w:r w:rsidR="004A32A6" w:rsidRPr="009D525C">
        <w:rPr>
          <w:rFonts w:cstheme="minorHAnsi"/>
        </w:rPr>
        <w:t xml:space="preserve"> za nižší sazbu poplatku, naopak tuny SKO a objemného odpadu nad tento limit jdou automaticky za vyšší sazbu poplatku. Při současném systému odpadového hospodářství v obcích to neznamená </w:t>
      </w:r>
      <w:r w:rsidR="0091449D" w:rsidRPr="009D525C">
        <w:rPr>
          <w:rFonts w:cstheme="minorHAnsi"/>
        </w:rPr>
        <w:t xml:space="preserve">ekonomicky </w:t>
      </w:r>
      <w:r w:rsidR="004A32A6" w:rsidRPr="009D525C">
        <w:rPr>
          <w:rFonts w:cstheme="minorHAnsi"/>
        </w:rPr>
        <w:t>až tak markantní rozdíl, ten nastane až v roce 2030</w:t>
      </w:r>
      <w:r w:rsidR="0043533C" w:rsidRPr="009D525C">
        <w:rPr>
          <w:rFonts w:cstheme="minorHAnsi"/>
        </w:rPr>
        <w:t>,</w:t>
      </w:r>
      <w:r w:rsidR="004A32A6" w:rsidRPr="009D525C">
        <w:rPr>
          <w:rFonts w:cstheme="minorHAnsi"/>
        </w:rPr>
        <w:t xml:space="preserve"> </w:t>
      </w:r>
      <w:r w:rsidR="00B01364" w:rsidRPr="009D525C">
        <w:rPr>
          <w:rFonts w:cstheme="minorHAnsi"/>
        </w:rPr>
        <w:t>kdy se zruší</w:t>
      </w:r>
      <w:r w:rsidR="0043533C" w:rsidRPr="009D525C">
        <w:rPr>
          <w:rFonts w:cstheme="minorHAnsi"/>
        </w:rPr>
        <w:t xml:space="preserve"> </w:t>
      </w:r>
      <w:r w:rsidR="004A32A6" w:rsidRPr="009D525C">
        <w:rPr>
          <w:rFonts w:cstheme="minorHAnsi"/>
        </w:rPr>
        <w:t xml:space="preserve">nižší sazba poplatku a každá tuna uloženého odpadu na skládku bude za 1850 Kč oproti stávajícím 500 Kč. </w:t>
      </w:r>
    </w:p>
    <w:p w14:paraId="4388D9E9" w14:textId="15861477" w:rsidR="0043533C" w:rsidRPr="009D525C" w:rsidRDefault="0043533C" w:rsidP="008F526F">
      <w:pPr>
        <w:ind w:firstLine="360"/>
        <w:jc w:val="both"/>
        <w:rPr>
          <w:rFonts w:cstheme="minorHAnsi"/>
        </w:rPr>
      </w:pPr>
      <w:r w:rsidRPr="009D525C">
        <w:rPr>
          <w:rFonts w:cstheme="minorHAnsi"/>
        </w:rPr>
        <w:t xml:space="preserve">Dalším </w:t>
      </w:r>
      <w:r w:rsidR="00B01364" w:rsidRPr="009D525C">
        <w:rPr>
          <w:rFonts w:cstheme="minorHAnsi"/>
        </w:rPr>
        <w:t xml:space="preserve">významným cílem pro obce je zajištění </w:t>
      </w:r>
      <w:r w:rsidR="00C734A6" w:rsidRPr="009D525C">
        <w:rPr>
          <w:rFonts w:cstheme="minorHAnsi"/>
        </w:rPr>
        <w:t>určitého poměru mezi produkcí SKO</w:t>
      </w:r>
      <w:r w:rsidR="0091449D" w:rsidRPr="009D525C">
        <w:rPr>
          <w:rFonts w:cstheme="minorHAnsi"/>
        </w:rPr>
        <w:t xml:space="preserve"> a</w:t>
      </w:r>
      <w:r w:rsidR="00C734A6" w:rsidRPr="009D525C">
        <w:rPr>
          <w:rFonts w:cstheme="minorHAnsi"/>
        </w:rPr>
        <w:t xml:space="preserve"> objemného odpadu </w:t>
      </w:r>
      <w:r w:rsidR="0091449D" w:rsidRPr="009D525C">
        <w:rPr>
          <w:rFonts w:cstheme="minorHAnsi"/>
        </w:rPr>
        <w:t>oproti</w:t>
      </w:r>
      <w:r w:rsidR="005D2446" w:rsidRPr="009D525C">
        <w:rPr>
          <w:rFonts w:cstheme="minorHAnsi"/>
        </w:rPr>
        <w:t xml:space="preserve"> </w:t>
      </w:r>
      <w:r w:rsidR="0091449D" w:rsidRPr="009D525C">
        <w:rPr>
          <w:rFonts w:cstheme="minorHAnsi"/>
        </w:rPr>
        <w:t>všem ostatní</w:t>
      </w:r>
      <w:r w:rsidR="00B5572C" w:rsidRPr="009D525C">
        <w:rPr>
          <w:rFonts w:cstheme="minorHAnsi"/>
        </w:rPr>
        <w:t>m</w:t>
      </w:r>
      <w:r w:rsidR="00C734A6" w:rsidRPr="009D525C">
        <w:rPr>
          <w:rFonts w:cstheme="minorHAnsi"/>
        </w:rPr>
        <w:t xml:space="preserve"> komodit</w:t>
      </w:r>
      <w:r w:rsidR="00B5572C" w:rsidRPr="009D525C">
        <w:rPr>
          <w:rFonts w:cstheme="minorHAnsi"/>
        </w:rPr>
        <w:t>ám</w:t>
      </w:r>
      <w:r w:rsidR="00C734A6" w:rsidRPr="009D525C">
        <w:rPr>
          <w:rFonts w:cstheme="minorHAnsi"/>
        </w:rPr>
        <w:t xml:space="preserve"> odpadů.</w:t>
      </w:r>
      <w:r w:rsidR="005D2446" w:rsidRPr="009D525C">
        <w:rPr>
          <w:rFonts w:cstheme="minorHAnsi"/>
        </w:rPr>
        <w:t xml:space="preserve"> Od roku 2025 musí obce zajistit aby </w:t>
      </w:r>
      <w:proofErr w:type="gramStart"/>
      <w:r w:rsidR="005D2446" w:rsidRPr="009D525C">
        <w:rPr>
          <w:rFonts w:cstheme="minorHAnsi"/>
        </w:rPr>
        <w:t>ze 100%</w:t>
      </w:r>
      <w:proofErr w:type="gramEnd"/>
      <w:r w:rsidR="005D2446" w:rsidRPr="009D525C">
        <w:rPr>
          <w:rFonts w:cstheme="minorHAnsi"/>
        </w:rPr>
        <w:t xml:space="preserve"> všech vyprodukovaných komunálních odpadů tvořily 60% vytříděné suroviny</w:t>
      </w:r>
      <w:r w:rsidR="00C734A6" w:rsidRPr="009D525C">
        <w:rPr>
          <w:rFonts w:cstheme="minorHAnsi"/>
        </w:rPr>
        <w:t xml:space="preserve"> (vše kromě SKO a objemného).</w:t>
      </w:r>
    </w:p>
    <w:p w14:paraId="1628BF1C" w14:textId="0DEB4DD1" w:rsidR="008F526F" w:rsidRPr="009D525C" w:rsidRDefault="008F526F" w:rsidP="008F526F">
      <w:pPr>
        <w:ind w:firstLine="360"/>
        <w:jc w:val="both"/>
        <w:rPr>
          <w:rFonts w:cstheme="minorHAnsi"/>
        </w:rPr>
      </w:pPr>
      <w:r w:rsidRPr="009D525C">
        <w:rPr>
          <w:rFonts w:cstheme="minorHAnsi"/>
        </w:rPr>
        <w:lastRenderedPageBreak/>
        <w:t xml:space="preserve">Tímto krokem začínáme pociťovat vzrůstající tendenci o zájem komodity BIO. Biologicky rozložitelný odpad je komoditou, která může největší měrou přispět ke splnění těchto cílů. </w:t>
      </w:r>
      <w:r w:rsidR="00A54C54" w:rsidRPr="009D525C">
        <w:rPr>
          <w:rFonts w:cstheme="minorHAnsi"/>
        </w:rPr>
        <w:t>Bohužel zde narážíme na jiný problém – kapacity kompostáren.</w:t>
      </w:r>
      <w:r w:rsidR="00B5572C" w:rsidRPr="009D525C">
        <w:rPr>
          <w:rFonts w:cstheme="minorHAnsi"/>
        </w:rPr>
        <w:t xml:space="preserve"> </w:t>
      </w:r>
    </w:p>
    <w:p w14:paraId="2DF15622" w14:textId="3002D51E" w:rsidR="00661C38" w:rsidRPr="009D525C" w:rsidRDefault="00661C38" w:rsidP="00170CAA">
      <w:pPr>
        <w:ind w:firstLine="360"/>
        <w:jc w:val="both"/>
        <w:rPr>
          <w:rFonts w:cstheme="minorHAnsi"/>
          <w:b/>
        </w:rPr>
      </w:pPr>
      <w:r w:rsidRPr="009D525C">
        <w:rPr>
          <w:rFonts w:cstheme="minorHAnsi"/>
          <w:b/>
        </w:rPr>
        <w:t>Obec bude muset na novou legislativu reagovat ta</w:t>
      </w:r>
      <w:r w:rsidR="007E784E" w:rsidRPr="009D525C">
        <w:rPr>
          <w:rFonts w:cstheme="minorHAnsi"/>
          <w:b/>
        </w:rPr>
        <w:t>ké novou vyhláškou na výběr poplatku za odpady</w:t>
      </w:r>
      <w:r w:rsidR="00CE7F10" w:rsidRPr="009D525C">
        <w:rPr>
          <w:rFonts w:cstheme="minorHAnsi"/>
          <w:b/>
        </w:rPr>
        <w:t xml:space="preserve"> od svých občanů</w:t>
      </w:r>
      <w:r w:rsidR="007E784E" w:rsidRPr="009D525C">
        <w:rPr>
          <w:rFonts w:cstheme="minorHAnsi"/>
          <w:b/>
        </w:rPr>
        <w:t xml:space="preserve">. </w:t>
      </w:r>
      <w:r w:rsidR="00CE7F10" w:rsidRPr="009D525C">
        <w:rPr>
          <w:rFonts w:cstheme="minorHAnsi"/>
          <w:b/>
        </w:rPr>
        <w:t xml:space="preserve">V naší svozové oblasti převládají 2 typy </w:t>
      </w:r>
      <w:r w:rsidR="007E784E" w:rsidRPr="009D525C">
        <w:rPr>
          <w:rFonts w:cstheme="minorHAnsi"/>
          <w:b/>
        </w:rPr>
        <w:t>výběru poplatku:</w:t>
      </w:r>
    </w:p>
    <w:p w14:paraId="05762713" w14:textId="626D613D" w:rsidR="007E784E" w:rsidRPr="009D525C" w:rsidRDefault="007E784E" w:rsidP="00170CAA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9D525C">
        <w:rPr>
          <w:rFonts w:cstheme="minorHAnsi"/>
          <w:b/>
          <w:bCs/>
        </w:rPr>
        <w:t>Poplatek na hlavu</w:t>
      </w:r>
    </w:p>
    <w:p w14:paraId="0A78F8C2" w14:textId="37E64FFE" w:rsidR="007E784E" w:rsidRPr="009D525C" w:rsidRDefault="007E784E" w:rsidP="00170CAA">
      <w:pPr>
        <w:pStyle w:val="Odstavecseseznamem"/>
        <w:numPr>
          <w:ilvl w:val="1"/>
          <w:numId w:val="2"/>
        </w:numPr>
        <w:jc w:val="both"/>
        <w:rPr>
          <w:rFonts w:cstheme="minorHAnsi"/>
        </w:rPr>
      </w:pPr>
      <w:r w:rsidRPr="009D525C">
        <w:rPr>
          <w:rFonts w:cstheme="minorHAnsi"/>
        </w:rPr>
        <w:t>Každý trvale přihlášený občan v obci platí jednotnou sazbu za systém odpadového hospodářství v</w:t>
      </w:r>
      <w:r w:rsidR="00B5572C" w:rsidRPr="009D525C">
        <w:rPr>
          <w:rFonts w:cstheme="minorHAnsi"/>
        </w:rPr>
        <w:t> </w:t>
      </w:r>
      <w:r w:rsidRPr="009D525C">
        <w:rPr>
          <w:rFonts w:cstheme="minorHAnsi"/>
        </w:rPr>
        <w:t>obci</w:t>
      </w:r>
      <w:r w:rsidR="00B5572C" w:rsidRPr="009D525C">
        <w:rPr>
          <w:rFonts w:cstheme="minorHAnsi"/>
        </w:rPr>
        <w:t xml:space="preserve"> (maximální sazba je 1</w:t>
      </w:r>
      <w:r w:rsidR="00AE75E6">
        <w:rPr>
          <w:rFonts w:cstheme="minorHAnsi"/>
        </w:rPr>
        <w:t> </w:t>
      </w:r>
      <w:r w:rsidR="00B5572C" w:rsidRPr="009D525C">
        <w:rPr>
          <w:rFonts w:cstheme="minorHAnsi"/>
        </w:rPr>
        <w:t>200</w:t>
      </w:r>
      <w:r w:rsidR="00AE75E6">
        <w:rPr>
          <w:rFonts w:cstheme="minorHAnsi"/>
        </w:rPr>
        <w:t xml:space="preserve"> Kč</w:t>
      </w:r>
      <w:r w:rsidR="00B5572C" w:rsidRPr="009D525C">
        <w:rPr>
          <w:rFonts w:cstheme="minorHAnsi"/>
        </w:rPr>
        <w:t>)</w:t>
      </w:r>
    </w:p>
    <w:p w14:paraId="469E8DCC" w14:textId="0479EE28" w:rsidR="00B5572C" w:rsidRPr="009D525C" w:rsidRDefault="00B5572C" w:rsidP="00B5572C">
      <w:pPr>
        <w:pStyle w:val="Odstavecseseznamem"/>
        <w:ind w:left="1440"/>
        <w:jc w:val="both"/>
        <w:rPr>
          <w:rFonts w:cstheme="minorHAnsi"/>
        </w:rPr>
      </w:pPr>
    </w:p>
    <w:p w14:paraId="21B603DF" w14:textId="2E57ABC2" w:rsidR="007E784E" w:rsidRPr="009D525C" w:rsidRDefault="007E784E" w:rsidP="00170CAA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9D525C">
        <w:rPr>
          <w:rFonts w:cstheme="minorHAnsi"/>
          <w:b/>
          <w:bCs/>
        </w:rPr>
        <w:t>Poplatek za kapacitu soustřeďovacího prostředku – „za popelnici“</w:t>
      </w:r>
    </w:p>
    <w:p w14:paraId="0F0B7CC0" w14:textId="706F9A66" w:rsidR="007E784E" w:rsidRPr="009D525C" w:rsidRDefault="007E784E" w:rsidP="00170CAA">
      <w:pPr>
        <w:pStyle w:val="Odstavecseseznamem"/>
        <w:numPr>
          <w:ilvl w:val="1"/>
          <w:numId w:val="2"/>
        </w:numPr>
        <w:jc w:val="both"/>
        <w:rPr>
          <w:rFonts w:cstheme="minorHAnsi"/>
        </w:rPr>
      </w:pPr>
      <w:r w:rsidRPr="009D525C">
        <w:rPr>
          <w:rFonts w:cstheme="minorHAnsi"/>
        </w:rPr>
        <w:t>Obec stanoví výši sazby za 1 litr (maximálně 1</w:t>
      </w:r>
      <w:r w:rsidR="00AE75E6">
        <w:rPr>
          <w:rFonts w:cstheme="minorHAnsi"/>
        </w:rPr>
        <w:t xml:space="preserve"> Kč</w:t>
      </w:r>
      <w:r w:rsidRPr="009D525C">
        <w:rPr>
          <w:rFonts w:cstheme="minorHAnsi"/>
        </w:rPr>
        <w:t>/litr)</w:t>
      </w:r>
    </w:p>
    <w:p w14:paraId="598FC13D" w14:textId="28F49605" w:rsidR="007E784E" w:rsidRPr="009D525C" w:rsidRDefault="007E784E" w:rsidP="00170CAA">
      <w:pPr>
        <w:pStyle w:val="Odstavecseseznamem"/>
        <w:numPr>
          <w:ilvl w:val="1"/>
          <w:numId w:val="2"/>
        </w:numPr>
        <w:jc w:val="both"/>
        <w:rPr>
          <w:rFonts w:cstheme="minorHAnsi"/>
        </w:rPr>
      </w:pPr>
      <w:r w:rsidRPr="009D525C">
        <w:rPr>
          <w:rFonts w:cstheme="minorHAnsi"/>
        </w:rPr>
        <w:t>Tato sazba se aplikuje na kapacitu nádoby na SKO a přepočítá se dle četnosti svozu</w:t>
      </w:r>
    </w:p>
    <w:p w14:paraId="6F3346CA" w14:textId="46DF3C54" w:rsidR="00661C38" w:rsidRPr="009D525C" w:rsidRDefault="007E784E" w:rsidP="00BA22EE">
      <w:pPr>
        <w:pStyle w:val="Odstavecseseznamem"/>
        <w:numPr>
          <w:ilvl w:val="1"/>
          <w:numId w:val="2"/>
        </w:numPr>
        <w:jc w:val="both"/>
        <w:rPr>
          <w:rFonts w:cstheme="minorHAnsi"/>
        </w:rPr>
      </w:pPr>
      <w:r w:rsidRPr="009D525C">
        <w:rPr>
          <w:rFonts w:cstheme="minorHAnsi"/>
        </w:rPr>
        <w:t xml:space="preserve">Nádoba je vztažena </w:t>
      </w:r>
      <w:r w:rsidR="00B5572C" w:rsidRPr="009D525C">
        <w:rPr>
          <w:rFonts w:cstheme="minorHAnsi"/>
        </w:rPr>
        <w:t>k</w:t>
      </w:r>
      <w:r w:rsidRPr="009D525C">
        <w:rPr>
          <w:rFonts w:cstheme="minorHAnsi"/>
        </w:rPr>
        <w:t xml:space="preserve"> nemovitost</w:t>
      </w:r>
      <w:r w:rsidR="00B5572C" w:rsidRPr="009D525C">
        <w:rPr>
          <w:rFonts w:cstheme="minorHAnsi"/>
        </w:rPr>
        <w:t>i</w:t>
      </w:r>
      <w:r w:rsidR="00C734A6" w:rsidRPr="009D525C">
        <w:rPr>
          <w:rFonts w:cstheme="minorHAnsi"/>
        </w:rPr>
        <w:t xml:space="preserve"> v obci</w:t>
      </w:r>
    </w:p>
    <w:p w14:paraId="50AC3A6F" w14:textId="5227FD3C" w:rsidR="001722D5" w:rsidRPr="009D525C" w:rsidRDefault="00661C38" w:rsidP="00170CAA">
      <w:pPr>
        <w:ind w:firstLine="708"/>
        <w:jc w:val="both"/>
        <w:rPr>
          <w:rFonts w:cstheme="minorHAnsi"/>
        </w:rPr>
      </w:pPr>
      <w:r w:rsidRPr="009D525C">
        <w:rPr>
          <w:rFonts w:cstheme="minorHAnsi"/>
        </w:rPr>
        <w:t xml:space="preserve">U podnikatelských subjektů je systém o něco přísnější – defacto vždy </w:t>
      </w:r>
      <w:r w:rsidR="00274DEE" w:rsidRPr="009D525C">
        <w:rPr>
          <w:rFonts w:cstheme="minorHAnsi"/>
        </w:rPr>
        <w:t>se odpad končící na skládce účtuje za vyšší</w:t>
      </w:r>
      <w:r w:rsidRPr="009D525C">
        <w:rPr>
          <w:rFonts w:cstheme="minorHAnsi"/>
        </w:rPr>
        <w:t xml:space="preserve"> sazb</w:t>
      </w:r>
      <w:r w:rsidR="00274DEE" w:rsidRPr="009D525C">
        <w:rPr>
          <w:rFonts w:cstheme="minorHAnsi"/>
        </w:rPr>
        <w:t>u</w:t>
      </w:r>
      <w:r w:rsidRPr="009D525C">
        <w:rPr>
          <w:rFonts w:cstheme="minorHAnsi"/>
        </w:rPr>
        <w:t xml:space="preserve"> poplatku. Do nižší sazby může </w:t>
      </w:r>
      <w:r w:rsidR="00C734A6" w:rsidRPr="009D525C">
        <w:rPr>
          <w:rFonts w:cstheme="minorHAnsi"/>
        </w:rPr>
        <w:t xml:space="preserve">podnikatel </w:t>
      </w:r>
      <w:r w:rsidRPr="009D525C">
        <w:rPr>
          <w:rFonts w:cstheme="minorHAnsi"/>
        </w:rPr>
        <w:t>spadat pouze v případě, pokud prokáže, že odpad, který je odevzdáván svozové firmě má výhřevnost nižší než 6,5 MJ/kg</w:t>
      </w:r>
      <w:r w:rsidR="00C734A6" w:rsidRPr="009D525C">
        <w:rPr>
          <w:rFonts w:cstheme="minorHAnsi"/>
        </w:rPr>
        <w:t xml:space="preserve"> a je tedy dále nevyužitelný</w:t>
      </w:r>
      <w:r w:rsidRPr="009D525C">
        <w:rPr>
          <w:rFonts w:cstheme="minorHAnsi"/>
        </w:rPr>
        <w:t>.</w:t>
      </w:r>
      <w:r w:rsidR="00170CAA" w:rsidRPr="009D525C">
        <w:rPr>
          <w:rFonts w:cstheme="minorHAnsi"/>
        </w:rPr>
        <w:t xml:space="preserve"> V praxi je to prakticky nerealizovatelné už jen z toho důvodu, že u většiny podnikatelů probíhá svoz odpadů několikrát týdně</w:t>
      </w:r>
      <w:r w:rsidR="0065458D" w:rsidRPr="009D525C">
        <w:rPr>
          <w:rFonts w:cstheme="minorHAnsi"/>
        </w:rPr>
        <w:t xml:space="preserve"> a složení</w:t>
      </w:r>
      <w:r w:rsidR="00170CAA" w:rsidRPr="009D525C">
        <w:rPr>
          <w:rFonts w:cstheme="minorHAnsi"/>
        </w:rPr>
        <w:t xml:space="preserve"> odpadu je vždy r</w:t>
      </w:r>
      <w:r w:rsidR="00C734A6" w:rsidRPr="009D525C">
        <w:rPr>
          <w:rFonts w:cstheme="minorHAnsi"/>
        </w:rPr>
        <w:t>ůzné.</w:t>
      </w:r>
    </w:p>
    <w:p w14:paraId="1FC15307" w14:textId="62C3DA4A" w:rsidR="00170CAA" w:rsidRPr="009D525C" w:rsidRDefault="00170CAA" w:rsidP="004B3552">
      <w:pPr>
        <w:spacing w:line="240" w:lineRule="auto"/>
        <w:jc w:val="both"/>
        <w:rPr>
          <w:rFonts w:cstheme="minorHAnsi"/>
        </w:rPr>
      </w:pPr>
      <w:r w:rsidRPr="009D525C">
        <w:rPr>
          <w:rFonts w:cstheme="minorHAnsi"/>
        </w:rPr>
        <w:t xml:space="preserve">Dalším zpřísněním pro podnikatelské subjekty je </w:t>
      </w:r>
      <w:r w:rsidR="00B5572C" w:rsidRPr="009D525C">
        <w:rPr>
          <w:rFonts w:cstheme="minorHAnsi"/>
        </w:rPr>
        <w:t xml:space="preserve">povinnost </w:t>
      </w:r>
      <w:r w:rsidRPr="009D525C">
        <w:rPr>
          <w:rFonts w:cstheme="minorHAnsi"/>
        </w:rPr>
        <w:t>třídit nově 6 komodit odpadů</w:t>
      </w:r>
      <w:r w:rsidR="0065458D" w:rsidRPr="009D525C">
        <w:rPr>
          <w:rFonts w:cstheme="minorHAnsi"/>
        </w:rPr>
        <w:t xml:space="preserve"> bez rozdílu</w:t>
      </w:r>
      <w:r w:rsidRPr="009D525C">
        <w:rPr>
          <w:rFonts w:cstheme="minorHAnsi"/>
        </w:rPr>
        <w:t>:</w:t>
      </w:r>
    </w:p>
    <w:p w14:paraId="5B7F0F86" w14:textId="5D0052B6" w:rsidR="00170CAA" w:rsidRPr="009D525C" w:rsidRDefault="00170CAA" w:rsidP="004B355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D525C">
        <w:rPr>
          <w:rFonts w:cstheme="minorHAnsi"/>
        </w:rPr>
        <w:t>Směsný komunální odpad</w:t>
      </w:r>
    </w:p>
    <w:p w14:paraId="2983EB67" w14:textId="0CF523FF" w:rsidR="00170CAA" w:rsidRPr="009D525C" w:rsidRDefault="00170CAA" w:rsidP="004B355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D525C">
        <w:rPr>
          <w:rFonts w:cstheme="minorHAnsi"/>
        </w:rPr>
        <w:t>Plast</w:t>
      </w:r>
    </w:p>
    <w:p w14:paraId="76E0CFB9" w14:textId="00108BEC" w:rsidR="00170CAA" w:rsidRPr="009D525C" w:rsidRDefault="00170CAA" w:rsidP="004B355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D525C">
        <w:rPr>
          <w:rFonts w:cstheme="minorHAnsi"/>
        </w:rPr>
        <w:t>Papír</w:t>
      </w:r>
    </w:p>
    <w:p w14:paraId="44714784" w14:textId="46F3F0D0" w:rsidR="00D22D08" w:rsidRPr="009D525C" w:rsidRDefault="00D22D08" w:rsidP="004B355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D525C">
        <w:rPr>
          <w:rFonts w:cstheme="minorHAnsi"/>
        </w:rPr>
        <w:t>Sklo</w:t>
      </w:r>
    </w:p>
    <w:p w14:paraId="21C2669E" w14:textId="313A803C" w:rsidR="00D22D08" w:rsidRPr="009D525C" w:rsidRDefault="00D22D08" w:rsidP="004B355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D525C">
        <w:rPr>
          <w:rFonts w:cstheme="minorHAnsi"/>
        </w:rPr>
        <w:t>Biologicky rozložitelný odpad</w:t>
      </w:r>
    </w:p>
    <w:p w14:paraId="39C3DF00" w14:textId="5CF18BC6" w:rsidR="00D22D08" w:rsidRPr="009D525C" w:rsidRDefault="00D22D08" w:rsidP="004B355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D525C">
        <w:rPr>
          <w:rFonts w:cstheme="minorHAnsi"/>
        </w:rPr>
        <w:t>Kovy</w:t>
      </w:r>
    </w:p>
    <w:p w14:paraId="48A6EE8E" w14:textId="242DB3AC" w:rsidR="00D22D08" w:rsidRPr="009D525C" w:rsidRDefault="0065458D" w:rsidP="004B3552">
      <w:pPr>
        <w:spacing w:line="240" w:lineRule="auto"/>
        <w:ind w:firstLine="708"/>
        <w:jc w:val="both"/>
        <w:rPr>
          <w:rFonts w:cstheme="minorHAnsi"/>
        </w:rPr>
      </w:pPr>
      <w:r w:rsidRPr="009D525C">
        <w:rPr>
          <w:rFonts w:cstheme="minorHAnsi"/>
        </w:rPr>
        <w:t>Popravdě si neumím představit, že si malý kadeřnický salón zajistí nádoby na odpad pro všechny zmíněné komodity.</w:t>
      </w:r>
      <w:r w:rsidR="00DF2615" w:rsidRPr="009D525C">
        <w:rPr>
          <w:rFonts w:cstheme="minorHAnsi"/>
        </w:rPr>
        <w:t xml:space="preserve"> Ovšem velké korporáty jako jsou nemocnice, hotely, vysoké školy apod. už na legislativu průběžně reagují.</w:t>
      </w:r>
    </w:p>
    <w:p w14:paraId="4B137E47" w14:textId="6FFB21D4" w:rsidR="00E61606" w:rsidRPr="009D525C" w:rsidRDefault="009207D3" w:rsidP="008F526F">
      <w:pPr>
        <w:ind w:firstLine="708"/>
        <w:jc w:val="both"/>
        <w:rPr>
          <w:rFonts w:cstheme="minorHAnsi"/>
        </w:rPr>
      </w:pPr>
      <w:r w:rsidRPr="009D525C">
        <w:rPr>
          <w:rFonts w:cstheme="minorHAnsi"/>
        </w:rPr>
        <w:t xml:space="preserve">U nás jako svozové firmy a zároveň skládkařů roste tlak na stoprocentní evidenci odpadů u jednotlivých zákazníků. </w:t>
      </w:r>
      <w:r w:rsidR="008F526F" w:rsidRPr="009D525C">
        <w:rPr>
          <w:rFonts w:cstheme="minorHAnsi"/>
        </w:rPr>
        <w:t>Musíme hlídat</w:t>
      </w:r>
      <w:r w:rsidR="00B02E02" w:rsidRPr="009D525C">
        <w:rPr>
          <w:rFonts w:cstheme="minorHAnsi"/>
        </w:rPr>
        <w:t>,</w:t>
      </w:r>
      <w:r w:rsidR="008F526F" w:rsidRPr="009D525C">
        <w:rPr>
          <w:rFonts w:cstheme="minorHAnsi"/>
        </w:rPr>
        <w:t xml:space="preserve"> kdy a která obec překročí stanovený limit. Situace je o to složitější v případě, </w:t>
      </w:r>
      <w:r w:rsidR="00B5572C" w:rsidRPr="009D525C">
        <w:rPr>
          <w:rFonts w:cstheme="minorHAnsi"/>
        </w:rPr>
        <w:t>kdy</w:t>
      </w:r>
      <w:r w:rsidR="008F526F" w:rsidRPr="009D525C">
        <w:rPr>
          <w:rFonts w:cstheme="minorHAnsi"/>
        </w:rPr>
        <w:t xml:space="preserve"> obec využívá několik „koncovek“ pro odkládání odpadu.</w:t>
      </w:r>
      <w:r w:rsidR="00895A62" w:rsidRPr="009D525C">
        <w:rPr>
          <w:rFonts w:cstheme="minorHAnsi"/>
        </w:rPr>
        <w:t xml:space="preserve"> Taktéž evidence o občanech, kteří navštíví sběrné dvory a odevzdají zde jakýkoli odpad</w:t>
      </w:r>
      <w:r w:rsidR="004B3552" w:rsidRPr="009D525C">
        <w:rPr>
          <w:rFonts w:cstheme="minorHAnsi"/>
        </w:rPr>
        <w:t>,</w:t>
      </w:r>
      <w:r w:rsidR="00895A62" w:rsidRPr="009D525C">
        <w:rPr>
          <w:rFonts w:cstheme="minorHAnsi"/>
        </w:rPr>
        <w:t xml:space="preserve"> musí být přenášena jednotlivým obcím v rámci ročního hlášení. Stejně tak mnoho dalších informací, tabulek a hlášení</w:t>
      </w:r>
      <w:r w:rsidR="00505BDC" w:rsidRPr="009D525C">
        <w:rPr>
          <w:rFonts w:cstheme="minorHAnsi"/>
        </w:rPr>
        <w:t>,</w:t>
      </w:r>
      <w:r w:rsidR="00895A62" w:rsidRPr="009D525C">
        <w:rPr>
          <w:rFonts w:cstheme="minorHAnsi"/>
        </w:rPr>
        <w:t xml:space="preserve"> které budeme společně s obcemi vyplňovat každoročně od roku 2024.</w:t>
      </w:r>
    </w:p>
    <w:p w14:paraId="3DE555FD" w14:textId="3E7DAB81" w:rsidR="00C259E4" w:rsidRPr="009D525C" w:rsidRDefault="001242AB" w:rsidP="00274DEE">
      <w:pPr>
        <w:ind w:firstLine="708"/>
        <w:jc w:val="both"/>
        <w:rPr>
          <w:rFonts w:cstheme="minorHAnsi"/>
        </w:rPr>
      </w:pPr>
      <w:r w:rsidRPr="009D525C">
        <w:rPr>
          <w:rFonts w:cstheme="minorHAnsi"/>
        </w:rPr>
        <w:t>J</w:t>
      </w:r>
      <w:r w:rsidR="008F526F" w:rsidRPr="009D525C">
        <w:rPr>
          <w:rFonts w:cstheme="minorHAnsi"/>
        </w:rPr>
        <w:t xml:space="preserve">ako skládkaři </w:t>
      </w:r>
      <w:r w:rsidRPr="009D525C">
        <w:rPr>
          <w:rFonts w:cstheme="minorHAnsi"/>
        </w:rPr>
        <w:t xml:space="preserve">jsme povinni </w:t>
      </w:r>
      <w:r w:rsidR="008F526F" w:rsidRPr="009D525C">
        <w:rPr>
          <w:rFonts w:cstheme="minorHAnsi"/>
        </w:rPr>
        <w:t>kvartálně odvádět výměr poplatku na státní fond životního prostředí.</w:t>
      </w:r>
      <w:r w:rsidR="00C259E4" w:rsidRPr="009D525C">
        <w:rPr>
          <w:rFonts w:cstheme="minorHAnsi"/>
        </w:rPr>
        <w:t xml:space="preserve"> T</w:t>
      </w:r>
      <w:r w:rsidR="00505BDC" w:rsidRPr="009D525C">
        <w:rPr>
          <w:rFonts w:cstheme="minorHAnsi"/>
        </w:rPr>
        <w:t>outo povinností neseme „na zádech“</w:t>
      </w:r>
      <w:r w:rsidR="00C259E4" w:rsidRPr="009D525C">
        <w:rPr>
          <w:rFonts w:cstheme="minorHAnsi"/>
        </w:rPr>
        <w:t xml:space="preserve"> velkou zodpovědnost, protože v případě nesprávně odvedeného poplatku na státní fond životního prostředí to budeme právě my, kteří dostaneme případnou sankci. Je tedy potřeba průběžně spolupracovat se všemi „zúčastněnými“ články řetězce</w:t>
      </w:r>
      <w:r w:rsidR="00505BDC" w:rsidRPr="009D525C">
        <w:rPr>
          <w:rFonts w:cstheme="minorHAnsi"/>
        </w:rPr>
        <w:t xml:space="preserve"> a být v této oblasti stoprocentní.</w:t>
      </w:r>
    </w:p>
    <w:p w14:paraId="13BB93E2" w14:textId="0A549D3A" w:rsidR="0068342F" w:rsidRPr="009D525C" w:rsidRDefault="0065458D" w:rsidP="00B02E02">
      <w:pPr>
        <w:ind w:firstLine="708"/>
        <w:jc w:val="both"/>
        <w:rPr>
          <w:rFonts w:cstheme="minorHAnsi"/>
        </w:rPr>
      </w:pPr>
      <w:r w:rsidRPr="009D525C">
        <w:rPr>
          <w:rFonts w:cstheme="minorHAnsi"/>
        </w:rPr>
        <w:t>Pokud bych měl shrnout v krátkosti vše výše uvedené - dle mého názoru zde byl jeden zásadní problém. Zákon byl schválen horkou jehlou a nebyl k dispozici žádný kompetentní subjekt, který by pomohl zapracovat legislativu do praxe. Vedení naší společnosti strávilo spoustu času nad tím, jak k této problematice formálně správně přistoup</w:t>
      </w:r>
      <w:r w:rsidR="00603A7F" w:rsidRPr="009D525C">
        <w:rPr>
          <w:rFonts w:cstheme="minorHAnsi"/>
        </w:rPr>
        <w:t>it, ale i přes tyto problémy se vše zdárně povedlo.</w:t>
      </w:r>
      <w:r w:rsidR="00D3773A" w:rsidRPr="009D525C">
        <w:rPr>
          <w:rFonts w:cstheme="minorHAnsi"/>
        </w:rPr>
        <w:t xml:space="preserve"> Letošní rok je řekněme takovým přechodným </w:t>
      </w:r>
      <w:r w:rsidR="00446CAA" w:rsidRPr="009D525C">
        <w:rPr>
          <w:rFonts w:cstheme="minorHAnsi"/>
        </w:rPr>
        <w:t xml:space="preserve">legislativním </w:t>
      </w:r>
      <w:r w:rsidR="00D3773A" w:rsidRPr="009D525C">
        <w:rPr>
          <w:rFonts w:cstheme="minorHAnsi"/>
        </w:rPr>
        <w:t>milníkem v oblasti odpadového hospodářství v ČR.</w:t>
      </w:r>
    </w:p>
    <w:p w14:paraId="1E250EAF" w14:textId="68719C28" w:rsidR="0068342F" w:rsidRPr="009D525C" w:rsidRDefault="00AA0226" w:rsidP="006D2F3A">
      <w:pPr>
        <w:spacing w:line="240" w:lineRule="auto"/>
        <w:rPr>
          <w:rFonts w:cstheme="minorHAnsi"/>
          <w:b/>
          <w:bCs/>
          <w:sz w:val="20"/>
          <w:szCs w:val="20"/>
          <w:lang w:eastAsia="cs-CZ"/>
        </w:rPr>
      </w:pPr>
      <w:r w:rsidRPr="009D525C">
        <w:rPr>
          <w:rFonts w:cstheme="minorHAnsi"/>
          <w:b/>
          <w:bCs/>
          <w:sz w:val="20"/>
          <w:szCs w:val="20"/>
          <w:lang w:eastAsia="cs-CZ"/>
        </w:rPr>
        <w:t xml:space="preserve">Za </w:t>
      </w:r>
      <w:r w:rsidR="006D2F3A" w:rsidRPr="009D525C">
        <w:rPr>
          <w:rFonts w:cstheme="minorHAnsi"/>
          <w:b/>
          <w:bCs/>
          <w:sz w:val="20"/>
          <w:szCs w:val="20"/>
          <w:lang w:eastAsia="cs-CZ"/>
        </w:rPr>
        <w:t xml:space="preserve">OZO Ostrava s.r.o., </w:t>
      </w:r>
      <w:r w:rsidR="0068342F" w:rsidRPr="009D525C">
        <w:rPr>
          <w:rFonts w:cstheme="minorHAnsi"/>
          <w:b/>
          <w:bCs/>
          <w:sz w:val="20"/>
          <w:szCs w:val="20"/>
          <w:lang w:eastAsia="cs-CZ"/>
        </w:rPr>
        <w:t>Ing. Martin Boháč</w:t>
      </w:r>
    </w:p>
    <w:p w14:paraId="0EB1114A" w14:textId="06E12DFF" w:rsidR="0068342F" w:rsidRDefault="0068342F" w:rsidP="006D2F3A">
      <w:pPr>
        <w:spacing w:line="240" w:lineRule="auto"/>
        <w:rPr>
          <w:rFonts w:ascii="Arial" w:hAnsi="Arial" w:cs="Arial"/>
          <w:color w:val="808080"/>
          <w:sz w:val="16"/>
          <w:szCs w:val="16"/>
          <w:lang w:eastAsia="cs-CZ"/>
        </w:rPr>
      </w:pPr>
      <w:r>
        <w:rPr>
          <w:rFonts w:ascii="Arial" w:hAnsi="Arial" w:cs="Arial"/>
          <w:color w:val="808080"/>
          <w:sz w:val="16"/>
          <w:szCs w:val="16"/>
          <w:lang w:eastAsia="cs-CZ"/>
        </w:rPr>
        <w:t>vedoucí provozovny/</w:t>
      </w:r>
      <w:proofErr w:type="spellStart"/>
      <w:r>
        <w:rPr>
          <w:rFonts w:ascii="Arial" w:hAnsi="Arial" w:cs="Arial"/>
          <w:color w:val="808080"/>
          <w:sz w:val="16"/>
          <w:szCs w:val="16"/>
          <w:lang w:eastAsia="cs-CZ"/>
        </w:rPr>
        <w:t>Head</w:t>
      </w:r>
      <w:proofErr w:type="spellEnd"/>
      <w:r>
        <w:rPr>
          <w:rFonts w:ascii="Arial" w:hAnsi="Arial" w:cs="Arial"/>
          <w:color w:val="808080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color w:val="808080"/>
          <w:sz w:val="16"/>
          <w:szCs w:val="16"/>
          <w:lang w:eastAsia="cs-CZ"/>
        </w:rPr>
        <w:t>of</w:t>
      </w:r>
      <w:proofErr w:type="spellEnd"/>
      <w:r>
        <w:rPr>
          <w:rFonts w:ascii="Arial" w:hAnsi="Arial" w:cs="Arial"/>
          <w:color w:val="808080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color w:val="808080"/>
          <w:sz w:val="16"/>
          <w:szCs w:val="16"/>
          <w:lang w:eastAsia="cs-CZ"/>
        </w:rPr>
        <w:t>the</w:t>
      </w:r>
      <w:proofErr w:type="spellEnd"/>
      <w:r>
        <w:rPr>
          <w:rFonts w:ascii="Arial" w:hAnsi="Arial" w:cs="Arial"/>
          <w:color w:val="808080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color w:val="808080"/>
          <w:sz w:val="16"/>
          <w:szCs w:val="16"/>
          <w:lang w:eastAsia="cs-CZ"/>
        </w:rPr>
        <w:t>Municipal</w:t>
      </w:r>
      <w:proofErr w:type="spellEnd"/>
      <w:r>
        <w:rPr>
          <w:rFonts w:ascii="Arial" w:hAnsi="Arial" w:cs="Arial"/>
          <w:color w:val="808080"/>
          <w:sz w:val="16"/>
          <w:szCs w:val="16"/>
          <w:lang w:eastAsia="cs-CZ"/>
        </w:rPr>
        <w:t xml:space="preserve"> </w:t>
      </w:r>
      <w:proofErr w:type="spellStart"/>
      <w:r>
        <w:rPr>
          <w:rFonts w:ascii="Arial" w:hAnsi="Arial" w:cs="Arial"/>
          <w:color w:val="808080"/>
          <w:sz w:val="16"/>
          <w:szCs w:val="16"/>
          <w:lang w:eastAsia="cs-CZ"/>
        </w:rPr>
        <w:t>Waste</w:t>
      </w:r>
      <w:proofErr w:type="spellEnd"/>
      <w:r>
        <w:rPr>
          <w:rFonts w:ascii="Arial" w:hAnsi="Arial" w:cs="Arial"/>
          <w:color w:val="808080"/>
          <w:sz w:val="16"/>
          <w:szCs w:val="16"/>
          <w:lang w:eastAsia="cs-CZ"/>
        </w:rPr>
        <w:t xml:space="preserve"> Department</w:t>
      </w:r>
      <w:bookmarkStart w:id="0" w:name="_GoBack"/>
      <w:bookmarkEnd w:id="0"/>
    </w:p>
    <w:sectPr w:rsidR="0068342F" w:rsidSect="006D2F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5025E"/>
    <w:multiLevelType w:val="hybridMultilevel"/>
    <w:tmpl w:val="E3561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E53C2"/>
    <w:multiLevelType w:val="hybridMultilevel"/>
    <w:tmpl w:val="09F0A02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1A2DD7"/>
    <w:multiLevelType w:val="hybridMultilevel"/>
    <w:tmpl w:val="8B4427C4"/>
    <w:lvl w:ilvl="0" w:tplc="EA04592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AD7789"/>
    <w:multiLevelType w:val="hybridMultilevel"/>
    <w:tmpl w:val="93DCD21E"/>
    <w:lvl w:ilvl="0" w:tplc="73BA1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A3A87"/>
    <w:multiLevelType w:val="hybridMultilevel"/>
    <w:tmpl w:val="2280C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B454D"/>
    <w:multiLevelType w:val="hybridMultilevel"/>
    <w:tmpl w:val="ABBE0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82"/>
    <w:rsid w:val="00020120"/>
    <w:rsid w:val="00054280"/>
    <w:rsid w:val="00063FF6"/>
    <w:rsid w:val="00080847"/>
    <w:rsid w:val="000815A7"/>
    <w:rsid w:val="0008314E"/>
    <w:rsid w:val="000831AB"/>
    <w:rsid w:val="000973FE"/>
    <w:rsid w:val="00114949"/>
    <w:rsid w:val="001242AB"/>
    <w:rsid w:val="00133089"/>
    <w:rsid w:val="00133620"/>
    <w:rsid w:val="00170CAA"/>
    <w:rsid w:val="001722D5"/>
    <w:rsid w:val="001729A9"/>
    <w:rsid w:val="00197417"/>
    <w:rsid w:val="00253927"/>
    <w:rsid w:val="0027442C"/>
    <w:rsid w:val="00274DEE"/>
    <w:rsid w:val="002770DC"/>
    <w:rsid w:val="002A5E6A"/>
    <w:rsid w:val="002C5966"/>
    <w:rsid w:val="002C71E7"/>
    <w:rsid w:val="002E05A7"/>
    <w:rsid w:val="00312DA3"/>
    <w:rsid w:val="00356647"/>
    <w:rsid w:val="003970F0"/>
    <w:rsid w:val="003B2E12"/>
    <w:rsid w:val="003B46A3"/>
    <w:rsid w:val="00430560"/>
    <w:rsid w:val="0043533C"/>
    <w:rsid w:val="00444823"/>
    <w:rsid w:val="0044671E"/>
    <w:rsid w:val="00446CAA"/>
    <w:rsid w:val="004A32A6"/>
    <w:rsid w:val="004A4B39"/>
    <w:rsid w:val="004B3552"/>
    <w:rsid w:val="004C64F0"/>
    <w:rsid w:val="00505BDC"/>
    <w:rsid w:val="005538CE"/>
    <w:rsid w:val="005722B7"/>
    <w:rsid w:val="005C345B"/>
    <w:rsid w:val="005D0780"/>
    <w:rsid w:val="005D2446"/>
    <w:rsid w:val="005F6B40"/>
    <w:rsid w:val="00601B3B"/>
    <w:rsid w:val="00603A7F"/>
    <w:rsid w:val="0065458D"/>
    <w:rsid w:val="00660094"/>
    <w:rsid w:val="00661C38"/>
    <w:rsid w:val="0068342F"/>
    <w:rsid w:val="006D23EE"/>
    <w:rsid w:val="006D2F3A"/>
    <w:rsid w:val="006D5957"/>
    <w:rsid w:val="006F1204"/>
    <w:rsid w:val="006F77EA"/>
    <w:rsid w:val="007052C1"/>
    <w:rsid w:val="0072192C"/>
    <w:rsid w:val="00775933"/>
    <w:rsid w:val="007A6FC1"/>
    <w:rsid w:val="007B5CB0"/>
    <w:rsid w:val="007C0E70"/>
    <w:rsid w:val="007E068E"/>
    <w:rsid w:val="007E784E"/>
    <w:rsid w:val="008133CC"/>
    <w:rsid w:val="00813E09"/>
    <w:rsid w:val="00882758"/>
    <w:rsid w:val="00882E06"/>
    <w:rsid w:val="00895A62"/>
    <w:rsid w:val="008C37B5"/>
    <w:rsid w:val="008F526F"/>
    <w:rsid w:val="008F559E"/>
    <w:rsid w:val="008F7C5B"/>
    <w:rsid w:val="00900653"/>
    <w:rsid w:val="00910FBD"/>
    <w:rsid w:val="0091449D"/>
    <w:rsid w:val="00915D9B"/>
    <w:rsid w:val="009207D3"/>
    <w:rsid w:val="009745B6"/>
    <w:rsid w:val="00976E7D"/>
    <w:rsid w:val="009D525C"/>
    <w:rsid w:val="009F6400"/>
    <w:rsid w:val="00A465E5"/>
    <w:rsid w:val="00A545EC"/>
    <w:rsid w:val="00A54C54"/>
    <w:rsid w:val="00A95851"/>
    <w:rsid w:val="00AA0226"/>
    <w:rsid w:val="00AB0AEB"/>
    <w:rsid w:val="00AE75E6"/>
    <w:rsid w:val="00B01364"/>
    <w:rsid w:val="00B02E02"/>
    <w:rsid w:val="00B27A09"/>
    <w:rsid w:val="00B302DF"/>
    <w:rsid w:val="00B5572C"/>
    <w:rsid w:val="00B56638"/>
    <w:rsid w:val="00B70C82"/>
    <w:rsid w:val="00BA7583"/>
    <w:rsid w:val="00BF7D25"/>
    <w:rsid w:val="00C21980"/>
    <w:rsid w:val="00C24980"/>
    <w:rsid w:val="00C259E4"/>
    <w:rsid w:val="00C45DDC"/>
    <w:rsid w:val="00C462BF"/>
    <w:rsid w:val="00C5266E"/>
    <w:rsid w:val="00C53ED6"/>
    <w:rsid w:val="00C56357"/>
    <w:rsid w:val="00C6612C"/>
    <w:rsid w:val="00C734A6"/>
    <w:rsid w:val="00C95167"/>
    <w:rsid w:val="00CE7F10"/>
    <w:rsid w:val="00CF46FD"/>
    <w:rsid w:val="00D161A9"/>
    <w:rsid w:val="00D201D6"/>
    <w:rsid w:val="00D22D08"/>
    <w:rsid w:val="00D2403D"/>
    <w:rsid w:val="00D270D8"/>
    <w:rsid w:val="00D3773A"/>
    <w:rsid w:val="00D7716F"/>
    <w:rsid w:val="00DB31A9"/>
    <w:rsid w:val="00DD5F81"/>
    <w:rsid w:val="00DE6FE5"/>
    <w:rsid w:val="00DF2615"/>
    <w:rsid w:val="00DF6E47"/>
    <w:rsid w:val="00E2270B"/>
    <w:rsid w:val="00E24F0D"/>
    <w:rsid w:val="00E41691"/>
    <w:rsid w:val="00E61606"/>
    <w:rsid w:val="00E9009C"/>
    <w:rsid w:val="00EB7E9A"/>
    <w:rsid w:val="00ED5974"/>
    <w:rsid w:val="00EE67CD"/>
    <w:rsid w:val="00F017F4"/>
    <w:rsid w:val="00F402AE"/>
    <w:rsid w:val="00F53E75"/>
    <w:rsid w:val="00F81401"/>
    <w:rsid w:val="00FB0F20"/>
    <w:rsid w:val="00FC3157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1348"/>
  <w15:chartTrackingRefBased/>
  <w15:docId w15:val="{1863E263-D2CA-414F-8AE7-C5AA046B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3B46A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B46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B46A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45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3B46A3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B46A3"/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B46A3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BF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63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Martin</dc:creator>
  <cp:keywords/>
  <dc:description/>
  <cp:lastModifiedBy>Regína Vřeská </cp:lastModifiedBy>
  <cp:revision>3</cp:revision>
  <cp:lastPrinted>2021-12-21T12:45:00Z</cp:lastPrinted>
  <dcterms:created xsi:type="dcterms:W3CDTF">2021-12-22T15:40:00Z</dcterms:created>
  <dcterms:modified xsi:type="dcterms:W3CDTF">2021-12-22T15:40:00Z</dcterms:modified>
</cp:coreProperties>
</file>