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170CAD" w:rsidRDefault="00170CAD" w:rsidP="00136918">
      <w:pPr>
        <w:jc w:val="both"/>
        <w:rPr>
          <w:b/>
          <w:sz w:val="24"/>
          <w:szCs w:val="24"/>
        </w:rPr>
      </w:pPr>
    </w:p>
    <w:p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</w:t>
      </w:r>
      <w:proofErr w:type="gramStart"/>
      <w:r w:rsidR="008F4BC1">
        <w:rPr>
          <w:b/>
          <w:sz w:val="24"/>
          <w:szCs w:val="24"/>
        </w:rPr>
        <w:t>prosím</w:t>
      </w:r>
      <w:bookmarkStart w:id="0" w:name="_GoBack"/>
      <w:bookmarkEnd w:id="0"/>
      <w:r w:rsidR="008F4BC1">
        <w:rPr>
          <w:b/>
          <w:sz w:val="24"/>
          <w:szCs w:val="24"/>
        </w:rPr>
        <w:t>,  vkládejte</w:t>
      </w:r>
      <w:proofErr w:type="gramEnd"/>
      <w:r w:rsidR="008F4BC1">
        <w:rPr>
          <w:b/>
          <w:sz w:val="24"/>
          <w:szCs w:val="24"/>
        </w:rPr>
        <w:t xml:space="preserve">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</w:t>
      </w:r>
      <w:proofErr w:type="gramStart"/>
      <w:r w:rsidRPr="00406AD7">
        <w:rPr>
          <w:sz w:val="24"/>
          <w:szCs w:val="24"/>
        </w:rPr>
        <w:t xml:space="preserve">občanů </w:t>
      </w:r>
      <w:r w:rsidR="00406AD7">
        <w:rPr>
          <w:sz w:val="24"/>
          <w:szCs w:val="24"/>
        </w:rPr>
        <w:t xml:space="preserve"> v kraji</w:t>
      </w:r>
      <w:proofErr w:type="gramEnd"/>
      <w:r w:rsid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</w:t>
      </w:r>
      <w:proofErr w:type="gramStart"/>
      <w:r w:rsidRPr="00406AD7">
        <w:rPr>
          <w:sz w:val="24"/>
          <w:szCs w:val="24"/>
        </w:rPr>
        <w:t>však  nebude</w:t>
      </w:r>
      <w:proofErr w:type="gramEnd"/>
      <w:r w:rsidRPr="00406AD7">
        <w:rPr>
          <w:sz w:val="24"/>
          <w:szCs w:val="24"/>
        </w:rPr>
        <w:t xml:space="preserve">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lastRenderedPageBreak/>
        <w:t xml:space="preserve">Občané přesto o konzultace </w:t>
      </w:r>
      <w:proofErr w:type="gramStart"/>
      <w:r w:rsidR="00406AD7">
        <w:rPr>
          <w:sz w:val="24"/>
          <w:szCs w:val="24"/>
        </w:rPr>
        <w:t>se  zaměstnanci</w:t>
      </w:r>
      <w:proofErr w:type="gramEnd"/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</w:t>
      </w:r>
      <w:proofErr w:type="gramStart"/>
      <w:r w:rsidR="00943718">
        <w:rPr>
          <w:sz w:val="24"/>
          <w:szCs w:val="24"/>
        </w:rPr>
        <w:t xml:space="preserve">na </w:t>
      </w:r>
      <w:r w:rsidR="002F3C31">
        <w:rPr>
          <w:sz w:val="24"/>
          <w:szCs w:val="24"/>
        </w:rPr>
        <w:t xml:space="preserve"> každém</w:t>
      </w:r>
      <w:proofErr w:type="gramEnd"/>
      <w:r w:rsidR="002F3C31">
        <w:rPr>
          <w:sz w:val="24"/>
          <w:szCs w:val="24"/>
        </w:rPr>
        <w:t xml:space="preserve">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proofErr w:type="gramStart"/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proofErr w:type="gramEnd"/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firem </w:t>
      </w:r>
      <w:r w:rsidR="00406AD7">
        <w:rPr>
          <w:sz w:val="24"/>
          <w:szCs w:val="24"/>
        </w:rPr>
        <w:t xml:space="preserve"> budou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 xml:space="preserve">denně od 4. ledna </w:t>
      </w:r>
      <w:proofErr w:type="gramStart"/>
      <w:r w:rsidR="00943718" w:rsidRPr="008C58C2">
        <w:rPr>
          <w:b/>
          <w:sz w:val="24"/>
          <w:szCs w:val="24"/>
        </w:rPr>
        <w:t>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proofErr w:type="gramEnd"/>
      <w:r w:rsidR="00611502" w:rsidRPr="00611502">
        <w:rPr>
          <w:sz w:val="24"/>
          <w:szCs w:val="24"/>
        </w:rPr>
        <w:t xml:space="preserve"> </w:t>
      </w:r>
    </w:p>
    <w:p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</w:t>
      </w:r>
      <w:proofErr w:type="gramStart"/>
      <w:r w:rsidR="008C58C2">
        <w:rPr>
          <w:sz w:val="24"/>
          <w:szCs w:val="24"/>
        </w:rPr>
        <w:t>2021</w:t>
      </w:r>
      <w:r w:rsidRPr="00864F2A">
        <w:rPr>
          <w:sz w:val="24"/>
          <w:szCs w:val="24"/>
        </w:rPr>
        <w:t xml:space="preserve">  své</w:t>
      </w:r>
      <w:proofErr w:type="gramEnd"/>
      <w:r w:rsidRPr="00864F2A">
        <w:rPr>
          <w:sz w:val="24"/>
          <w:szCs w:val="24"/>
        </w:rPr>
        <w:t xml:space="preserve">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FC646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FC646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647A3" w:rsidRDefault="00FC646C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8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FC646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9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FC646C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0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FC646C" w:rsidP="00DE57DC">
            <w:pPr>
              <w:tabs>
                <w:tab w:val="left" w:pos="4395"/>
              </w:tabs>
              <w:rPr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FC646C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proofErr w:type="gramStart"/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 Třinci</w:t>
            </w:r>
            <w:proofErr w:type="gramEnd"/>
          </w:p>
        </w:tc>
        <w:tc>
          <w:tcPr>
            <w:tcW w:w="2583" w:type="dxa"/>
            <w:shd w:val="clear" w:color="auto" w:fill="auto"/>
            <w:vAlign w:val="center"/>
          </w:tcPr>
          <w:p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FC646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FC646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4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FC646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:rsidR="009353DE" w:rsidRDefault="009353DE" w:rsidP="00136918">
      <w:pPr>
        <w:jc w:val="both"/>
        <w:rPr>
          <w:sz w:val="24"/>
          <w:szCs w:val="24"/>
        </w:rPr>
      </w:pPr>
    </w:p>
    <w:p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problematice  dále</w:t>
      </w:r>
      <w:proofErr w:type="gramEnd"/>
      <w:r>
        <w:rPr>
          <w:sz w:val="24"/>
          <w:szCs w:val="24"/>
        </w:rPr>
        <w:t xml:space="preserve"> uvádíme:</w:t>
      </w:r>
    </w:p>
    <w:p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</w:t>
      </w:r>
      <w:r>
        <w:rPr>
          <w:sz w:val="24"/>
          <w:szCs w:val="24"/>
        </w:rPr>
        <w:lastRenderedPageBreak/>
        <w:t>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</w:t>
      </w:r>
      <w:proofErr w:type="gramStart"/>
      <w:r w:rsidRPr="00176E08">
        <w:rPr>
          <w:sz w:val="24"/>
          <w:szCs w:val="24"/>
        </w:rPr>
        <w:t>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 xml:space="preserve">7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proofErr w:type="gramEnd"/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</w:t>
      </w:r>
      <w:proofErr w:type="spellStart"/>
      <w:r w:rsidRPr="00DA7A58">
        <w:rPr>
          <w:sz w:val="24"/>
          <w:szCs w:val="24"/>
        </w:rPr>
        <w:t>Oprechtice</w:t>
      </w:r>
      <w:proofErr w:type="spellEnd"/>
      <w:r w:rsidRPr="00DA7A58">
        <w:rPr>
          <w:sz w:val="24"/>
          <w:szCs w:val="24"/>
        </w:rPr>
        <w:t xml:space="preserve"> ve Slezsku, 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lastRenderedPageBreak/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7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:rsidR="008A3BB9" w:rsidRDefault="008A3BB9" w:rsidP="00654708">
      <w:pPr>
        <w:jc w:val="both"/>
        <w:rPr>
          <w:sz w:val="24"/>
          <w:szCs w:val="24"/>
        </w:rPr>
      </w:pPr>
    </w:p>
    <w:p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lastRenderedPageBreak/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0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1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lastRenderedPageBreak/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</w:t>
      </w:r>
      <w:proofErr w:type="gramStart"/>
      <w:r w:rsidRPr="006647A3">
        <w:rPr>
          <w:sz w:val="24"/>
          <w:szCs w:val="24"/>
          <w:u w:val="single"/>
        </w:rPr>
        <w:t xml:space="preserve">na </w:t>
      </w:r>
      <w:r w:rsidR="001E356A" w:rsidRPr="006647A3">
        <w:rPr>
          <w:sz w:val="24"/>
          <w:szCs w:val="24"/>
          <w:u w:val="single"/>
        </w:rPr>
        <w:t xml:space="preserve"> územních</w:t>
      </w:r>
      <w:proofErr w:type="gramEnd"/>
      <w:r w:rsidR="001E356A" w:rsidRPr="006647A3">
        <w:rPr>
          <w:sz w:val="24"/>
          <w:szCs w:val="24"/>
          <w:u w:val="single"/>
        </w:rPr>
        <w:t xml:space="preserve">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C646C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16@fs.mfcr.cz" TargetMode="External"/><Relationship Id="rId13" Type="http://schemas.openxmlformats.org/officeDocument/2006/relationships/hyperlink" Target="mailto:podatelna3212@fs.mfcr.cz" TargetMode="External"/><Relationship Id="rId1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ancnisprava.cz/email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07@fs.mfcr.cz" TargetMode="External"/><Relationship Id="rId17" Type="http://schemas.openxmlformats.org/officeDocument/2006/relationships/hyperlink" Target="http://www.daneelektron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nisprava.cz" TargetMode="External"/><Relationship Id="rId20" Type="http://schemas.openxmlformats.org/officeDocument/2006/relationships/hyperlink" Target="http://www.financnisprava.cz/sip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15@fs.mfcr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00@fs.mfcr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datelna3205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1@fs.mfcr.cz" TargetMode="External"/><Relationship Id="rId14" Type="http://schemas.openxmlformats.org/officeDocument/2006/relationships/hyperlink" Target="mailto:podatelna3210@fs.mf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Regína</cp:lastModifiedBy>
  <cp:revision>2</cp:revision>
  <cp:lastPrinted>2017-01-10T10:49:00Z</cp:lastPrinted>
  <dcterms:created xsi:type="dcterms:W3CDTF">2021-01-04T15:00:00Z</dcterms:created>
  <dcterms:modified xsi:type="dcterms:W3CDTF">2021-01-04T15:00:00Z</dcterms:modified>
</cp:coreProperties>
</file>